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5.2.2 Percentage of students qualifying in state/national/ international level examinations during the last five years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 IIT/JAM/NET/SLET/GATE/GMAT/GPAT/CLAT/CAT/ GRE/TOEFL/ IELTS/Civil Services/State government examinations etc.)</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single"/>
          <w:vertAlign w:val="baseline"/>
          <w:rtl w:val="0"/>
        </w:rPr>
        <w:t xml:space="preserve">HEI responses to DVV</w:t>
      </w:r>
      <w:r w:rsidDel="00000000" w:rsidR="00000000" w:rsidRPr="00000000">
        <w:rPr>
          <w:rtl w:val="0"/>
        </w:rPr>
      </w:r>
    </w:p>
    <w:p w:rsidR="00000000" w:rsidDel="00000000" w:rsidP="00000000" w:rsidRDefault="00000000" w:rsidRPr="00000000" w14:paraId="00000005">
      <w:pPr>
        <w:jc w:val="center"/>
        <w:rPr>
          <w:u w:val="single"/>
        </w:rPr>
      </w:pPr>
      <w:r w:rsidDel="00000000" w:rsidR="00000000" w:rsidRPr="00000000">
        <w:rPr>
          <w:rtl w:val="0"/>
        </w:rPr>
      </w:r>
    </w:p>
    <w:tbl>
      <w:tblPr>
        <w:tblStyle w:val="Table1"/>
        <w:tblW w:w="7933.000000000001" w:type="dxa"/>
        <w:jc w:val="left"/>
        <w:tblLayout w:type="fixed"/>
        <w:tblLook w:val="0400"/>
      </w:tblPr>
      <w:tblGrid>
        <w:gridCol w:w="1980"/>
        <w:gridCol w:w="1417"/>
        <w:gridCol w:w="1418"/>
        <w:gridCol w:w="1417"/>
        <w:gridCol w:w="1701"/>
        <w:tblGridChange w:id="0">
          <w:tblGrid>
            <w:gridCol w:w="1980"/>
            <w:gridCol w:w="1417"/>
            <w:gridCol w:w="1418"/>
            <w:gridCol w:w="1417"/>
            <w:gridCol w:w="1701"/>
          </w:tblGrid>
        </w:tblGridChange>
      </w:tblGrid>
      <w:tr>
        <w:trPr>
          <w:cantSplit w:val="0"/>
          <w:trHeight w:val="103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2022 - 2023</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2021 - 2022</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2020 - 2021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2019 - 2020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2018 - 2019</w:t>
            </w:r>
          </w:p>
        </w:tc>
      </w:tr>
      <w:tr>
        <w:trPr>
          <w:cantSplit w:val="0"/>
          <w:trHeight w:val="6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bl>
    <w:p w:rsidR="00000000" w:rsidDel="00000000" w:rsidP="00000000" w:rsidRDefault="00000000" w:rsidRPr="00000000" w14:paraId="00000010">
      <w:pPr>
        <w:jc w:val="center"/>
        <w:rPr>
          <w:u w:val="single"/>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ahoma" w:cs="Tahoma" w:eastAsia="Tahoma" w:hAnsi="Tahoma"/>
          <w:b w:val="1"/>
          <w:color w:val="333333"/>
          <w:sz w:val="18"/>
          <w:szCs w:val="18"/>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Tahoma" w:cs="Tahoma" w:eastAsia="Tahoma" w:hAnsi="Tahoma"/>
          <w:b w:val="1"/>
          <w:color w:val="333333"/>
          <w:sz w:val="18"/>
          <w:szCs w:val="18"/>
        </w:rPr>
      </w:pPr>
      <w:r w:rsidDel="00000000" w:rsidR="00000000" w:rsidRPr="00000000">
        <w:rPr>
          <w:rtl w:val="0"/>
        </w:rPr>
      </w:r>
    </w:p>
    <w:tbl>
      <w:tblPr>
        <w:tblStyle w:val="Table2"/>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4252"/>
        <w:gridCol w:w="4678"/>
        <w:tblGridChange w:id="0">
          <w:tblGrid>
            <w:gridCol w:w="846"/>
            <w:gridCol w:w="4252"/>
            <w:gridCol w:w="4678"/>
          </w:tblGrid>
        </w:tblGridChange>
      </w:tblGrid>
      <w:tr>
        <w:trPr>
          <w:cantSplit w:val="0"/>
          <w:tblHeader w:val="0"/>
        </w:trPr>
        <w:tc>
          <w:tcPr/>
          <w:p w:rsidR="00000000" w:rsidDel="00000000" w:rsidP="00000000" w:rsidRDefault="00000000" w:rsidRPr="00000000" w14:paraId="00000013">
            <w:pPr>
              <w:jc w:val="center"/>
              <w:rPr>
                <w:b w:val="1"/>
                <w:sz w:val="24"/>
                <w:szCs w:val="24"/>
                <w:highlight w:val="green"/>
              </w:rPr>
            </w:pPr>
            <w:r w:rsidDel="00000000" w:rsidR="00000000" w:rsidRPr="00000000">
              <w:rPr>
                <w:b w:val="1"/>
                <w:sz w:val="24"/>
                <w:szCs w:val="24"/>
                <w:highlight w:val="green"/>
                <w:rtl w:val="0"/>
              </w:rPr>
              <w:t xml:space="preserve">Sl.no</w:t>
            </w:r>
          </w:p>
        </w:tc>
        <w:tc>
          <w:tcPr/>
          <w:p w:rsidR="00000000" w:rsidDel="00000000" w:rsidP="00000000" w:rsidRDefault="00000000" w:rsidRPr="00000000" w14:paraId="00000014">
            <w:pPr>
              <w:jc w:val="center"/>
              <w:rPr>
                <w:b w:val="1"/>
                <w:sz w:val="24"/>
                <w:szCs w:val="24"/>
                <w:highlight w:val="green"/>
              </w:rPr>
            </w:pPr>
            <w:r w:rsidDel="00000000" w:rsidR="00000000" w:rsidRPr="00000000">
              <w:rPr>
                <w:b w:val="1"/>
                <w:sz w:val="24"/>
                <w:szCs w:val="24"/>
                <w:highlight w:val="green"/>
                <w:rtl w:val="0"/>
              </w:rPr>
              <w:t xml:space="preserve">DVV query</w:t>
            </w:r>
          </w:p>
        </w:tc>
        <w:tc>
          <w:tcPr/>
          <w:p w:rsidR="00000000" w:rsidDel="00000000" w:rsidP="00000000" w:rsidRDefault="00000000" w:rsidRPr="00000000" w14:paraId="00000015">
            <w:pPr>
              <w:jc w:val="center"/>
              <w:rPr>
                <w:b w:val="1"/>
                <w:sz w:val="24"/>
                <w:szCs w:val="24"/>
                <w:highlight w:val="green"/>
              </w:rPr>
            </w:pPr>
            <w:r w:rsidDel="00000000" w:rsidR="00000000" w:rsidRPr="00000000">
              <w:rPr>
                <w:b w:val="1"/>
                <w:sz w:val="24"/>
                <w:szCs w:val="24"/>
                <w:highlight w:val="green"/>
                <w:rtl w:val="0"/>
              </w:rPr>
              <w:t xml:space="preserve">HEI response</w:t>
            </w:r>
          </w:p>
        </w:tc>
      </w:tr>
      <w:tr>
        <w:trPr>
          <w:cantSplit w:val="0"/>
          <w:trHeight w:val="522" w:hRule="atLeast"/>
          <w:tblHeader w:val="0"/>
        </w:trPr>
        <w:tc>
          <w:tcPr/>
          <w:p w:rsidR="00000000" w:rsidDel="00000000" w:rsidP="00000000" w:rsidRDefault="00000000" w:rsidRPr="00000000" w14:paraId="00000016">
            <w:pPr>
              <w:jc w:val="center"/>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017">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HEI is requested to kindly note that multiple counting for the same student for the same academic year should be counted as one ,so please relook and provide the correct and revise data . </w:t>
            </w:r>
          </w:p>
          <w:p w:rsidR="00000000" w:rsidDel="00000000" w:rsidP="00000000" w:rsidRDefault="00000000" w:rsidRPr="00000000" w14:paraId="00000018">
            <w:pPr>
              <w:jc w:val="both"/>
              <w:rPr>
                <w:b w:val="1"/>
                <w:sz w:val="24"/>
                <w:szCs w:val="24"/>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sz w:val="24"/>
                <w:szCs w:val="24"/>
                <w:rtl w:val="0"/>
              </w:rPr>
              <w:t xml:space="preserve">D</w:t>
            </w:r>
            <w:r w:rsidDel="00000000" w:rsidR="00000000" w:rsidRPr="00000000">
              <w:rPr>
                <w:rtl w:val="0"/>
              </w:rPr>
              <w:t xml:space="preserve">ata corrected and given above</w:t>
            </w:r>
          </w:p>
          <w:p w:rsidR="00000000" w:rsidDel="00000000" w:rsidP="00000000" w:rsidRDefault="00000000" w:rsidRPr="00000000" w14:paraId="0000001A">
            <w:pPr>
              <w:rPr>
                <w:sz w:val="24"/>
                <w:szCs w:val="24"/>
              </w:rPr>
            </w:pPr>
            <w:r w:rsidDel="00000000" w:rsidR="00000000" w:rsidRPr="00000000">
              <w:rPr>
                <w:sz w:val="24"/>
                <w:szCs w:val="24"/>
                <w:rtl w:val="0"/>
              </w:rPr>
              <w:t xml:space="preserve">5.2.2_Data_Template</w:t>
            </w:r>
          </w:p>
        </w:tc>
      </w:tr>
      <w:tr>
        <w:trPr>
          <w:cantSplit w:val="0"/>
          <w:tblHeader w:val="0"/>
        </w:trPr>
        <w:tc>
          <w:tcPr/>
          <w:p w:rsidR="00000000" w:rsidDel="00000000" w:rsidP="00000000" w:rsidRDefault="00000000" w:rsidRPr="00000000" w14:paraId="0000001B">
            <w:pPr>
              <w:jc w:val="center"/>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01C">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HEI is requested to provide the List of students year-wise under each head. </w:t>
            </w:r>
          </w:p>
          <w:p w:rsidR="00000000" w:rsidDel="00000000" w:rsidP="00000000" w:rsidRDefault="00000000" w:rsidRPr="00000000" w14:paraId="0000001D">
            <w:pPr>
              <w:jc w:val="both"/>
              <w:rPr>
                <w:b w:val="1"/>
                <w:sz w:val="24"/>
                <w:szCs w:val="24"/>
              </w:rPr>
            </w:pPr>
            <w:r w:rsidDel="00000000" w:rsidR="00000000" w:rsidRPr="00000000">
              <w:rPr>
                <w:rtl w:val="0"/>
              </w:rPr>
            </w:r>
          </w:p>
        </w:tc>
        <w:tc>
          <w:tcPr/>
          <w:p w:rsidR="00000000" w:rsidDel="00000000" w:rsidP="00000000" w:rsidRDefault="00000000" w:rsidRPr="00000000" w14:paraId="0000001E">
            <w:pPr>
              <w:rPr>
                <w:sz w:val="24"/>
                <w:szCs w:val="24"/>
              </w:rPr>
            </w:pPr>
            <w:r w:rsidDel="00000000" w:rsidR="00000000" w:rsidRPr="00000000">
              <w:rPr>
                <w:sz w:val="24"/>
                <w:szCs w:val="24"/>
                <w:rtl w:val="0"/>
              </w:rPr>
              <w:t xml:space="preserve">5.2.2_List_of_students</w:t>
            </w:r>
          </w:p>
          <w:p w:rsidR="00000000" w:rsidDel="00000000" w:rsidP="00000000" w:rsidRDefault="00000000" w:rsidRPr="00000000" w14:paraId="0000001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0">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021">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HEI is requested to provide the Qualifying Certificates of the students taking the examination year wise under each category</w:t>
            </w:r>
          </w:p>
          <w:p w:rsidR="00000000" w:rsidDel="00000000" w:rsidP="00000000" w:rsidRDefault="00000000" w:rsidRPr="00000000" w14:paraId="00000022">
            <w:pPr>
              <w:jc w:val="both"/>
              <w:rPr>
                <w:b w:val="1"/>
                <w:sz w:val="24"/>
                <w:szCs w:val="24"/>
              </w:rPr>
            </w:pPr>
            <w:r w:rsidDel="00000000" w:rsidR="00000000" w:rsidRPr="00000000">
              <w:rPr>
                <w:rtl w:val="0"/>
              </w:rPr>
            </w:r>
          </w:p>
        </w:tc>
        <w:tc>
          <w:tcPr/>
          <w:p w:rsidR="00000000" w:rsidDel="00000000" w:rsidP="00000000" w:rsidRDefault="00000000" w:rsidRPr="00000000" w14:paraId="00000023">
            <w:pPr>
              <w:rPr>
                <w:sz w:val="24"/>
                <w:szCs w:val="24"/>
              </w:rPr>
            </w:pPr>
            <w:r w:rsidDel="00000000" w:rsidR="00000000" w:rsidRPr="00000000">
              <w:rPr>
                <w:sz w:val="24"/>
                <w:szCs w:val="24"/>
                <w:rtl w:val="0"/>
              </w:rPr>
              <w:t xml:space="preserve">2018_19_Compt_Exam_Proof</w:t>
            </w:r>
          </w:p>
          <w:p w:rsidR="00000000" w:rsidDel="00000000" w:rsidP="00000000" w:rsidRDefault="00000000" w:rsidRPr="00000000" w14:paraId="00000024">
            <w:pPr>
              <w:rPr>
                <w:sz w:val="24"/>
                <w:szCs w:val="24"/>
              </w:rPr>
            </w:pPr>
            <w:r w:rsidDel="00000000" w:rsidR="00000000" w:rsidRPr="00000000">
              <w:rPr>
                <w:sz w:val="24"/>
                <w:szCs w:val="24"/>
                <w:rtl w:val="0"/>
              </w:rPr>
              <w:t xml:space="preserve">2019_20_Compt_Exam_Proof</w:t>
            </w:r>
          </w:p>
          <w:p w:rsidR="00000000" w:rsidDel="00000000" w:rsidP="00000000" w:rsidRDefault="00000000" w:rsidRPr="00000000" w14:paraId="00000025">
            <w:pPr>
              <w:rPr>
                <w:sz w:val="24"/>
                <w:szCs w:val="24"/>
              </w:rPr>
            </w:pPr>
            <w:r w:rsidDel="00000000" w:rsidR="00000000" w:rsidRPr="00000000">
              <w:rPr>
                <w:sz w:val="24"/>
                <w:szCs w:val="24"/>
                <w:rtl w:val="0"/>
              </w:rPr>
              <w:t xml:space="preserve">2020_21_Compt_Exam_Proof</w:t>
            </w:r>
          </w:p>
          <w:p w:rsidR="00000000" w:rsidDel="00000000" w:rsidP="00000000" w:rsidRDefault="00000000" w:rsidRPr="00000000" w14:paraId="00000026">
            <w:pPr>
              <w:rPr>
                <w:sz w:val="24"/>
                <w:szCs w:val="24"/>
              </w:rPr>
            </w:pPr>
            <w:r w:rsidDel="00000000" w:rsidR="00000000" w:rsidRPr="00000000">
              <w:rPr>
                <w:sz w:val="24"/>
                <w:szCs w:val="24"/>
                <w:rtl w:val="0"/>
              </w:rPr>
              <w:t xml:space="preserve">2021_22_Compt_Exam_Proof</w:t>
            </w:r>
          </w:p>
          <w:p w:rsidR="00000000" w:rsidDel="00000000" w:rsidP="00000000" w:rsidRDefault="00000000" w:rsidRPr="00000000" w14:paraId="00000027">
            <w:pPr>
              <w:rPr>
                <w:sz w:val="24"/>
                <w:szCs w:val="24"/>
              </w:rPr>
            </w:pPr>
            <w:r w:rsidDel="00000000" w:rsidR="00000000" w:rsidRPr="00000000">
              <w:rPr>
                <w:sz w:val="24"/>
                <w:szCs w:val="24"/>
                <w:rtl w:val="0"/>
              </w:rPr>
              <w:t xml:space="preserve">2022_23_Compt_Exam_Proof</w:t>
            </w:r>
          </w:p>
        </w:tc>
      </w:tr>
    </w:tbl>
    <w:p w:rsidR="00000000" w:rsidDel="00000000" w:rsidP="00000000" w:rsidRDefault="00000000" w:rsidRPr="00000000" w14:paraId="00000028">
      <w:pPr>
        <w:rPr>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phasis">
    <w:name w:val="Emphasis"/>
    <w:basedOn w:val="DefaultParagraphFont"/>
    <w:uiPriority w:val="20"/>
    <w:qFormat w:val="1"/>
    <w:rsid w:val="00567A46"/>
    <w:rPr>
      <w:i w:val="1"/>
      <w:iCs w:val="1"/>
    </w:rPr>
  </w:style>
  <w:style w:type="table" w:styleId="TableGrid">
    <w:name w:val="Table Grid"/>
    <w:basedOn w:val="TableNormal"/>
    <w:uiPriority w:val="39"/>
    <w:rsid w:val="00567A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9D5EFA"/>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vxazWsQPbENhDfcZoM5o7KCI6g==">CgMxLjA4AHIhMVV5d0VFZzJ0WEJSVEdmTUZQTGN1VDJRT2ZQRXBQbGJV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2024-05-14T06:31:00Z</dcterms:created>
  <dc:creator>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0822ef8d-15db-47b0-b6ac-d57c61730825</vt:lpwstr>
  </property>
</Properties>
</file>